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BC2EDA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06</w:t>
      </w:r>
      <w:r w:rsidR="007B0CA1">
        <w:rPr>
          <w:b/>
          <w:sz w:val="36"/>
          <w:szCs w:val="36"/>
        </w:rPr>
        <w:t>-</w:t>
      </w:r>
      <w:r w:rsidR="00C119F3">
        <w:rPr>
          <w:b/>
          <w:sz w:val="36"/>
          <w:szCs w:val="36"/>
        </w:rPr>
        <w:t>01-2013</w:t>
      </w:r>
    </w:p>
    <w:p w:rsidR="00BC2EDA" w:rsidRPr="009200C2" w:rsidRDefault="00BC2EDA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INFONEWS</w:t>
      </w:r>
    </w:p>
    <w:p w:rsidR="00BC2EDA" w:rsidRPr="00BC2EDA" w:rsidRDefault="00BC2EDA" w:rsidP="00BC2EDA">
      <w:pPr>
        <w:pStyle w:val="Ttulo1"/>
        <w:spacing w:before="225" w:after="225" w:line="240" w:lineRule="atLeast"/>
        <w:rPr>
          <w:rFonts w:ascii="Georgia" w:hAnsi="Georgia"/>
          <w:b w:val="0"/>
          <w:bCs w:val="0"/>
          <w:color w:val="000000"/>
          <w:sz w:val="44"/>
          <w:szCs w:val="44"/>
        </w:rPr>
      </w:pPr>
      <w:bookmarkStart w:id="0" w:name="_GoBack"/>
      <w:r w:rsidRPr="00BC2EDA">
        <w:rPr>
          <w:rFonts w:ascii="Georgia" w:hAnsi="Georgia"/>
          <w:b w:val="0"/>
          <w:bCs w:val="0"/>
          <w:color w:val="000000"/>
          <w:sz w:val="44"/>
          <w:szCs w:val="44"/>
        </w:rPr>
        <w:t>Tras el fallo judicial, en La Rural afirman que se realizarán las actividades previstas</w:t>
      </w:r>
    </w:p>
    <w:bookmarkEnd w:id="0"/>
    <w:p w:rsidR="00BC2EDA" w:rsidRDefault="00BC2EDA" w:rsidP="00BC2EDA">
      <w:pPr>
        <w:pStyle w:val="NormalWeb"/>
        <w:spacing w:before="0" w:beforeAutospacing="0" w:after="0" w:afterAutospacing="0" w:line="336" w:lineRule="atLeast"/>
        <w:jc w:val="both"/>
        <w:outlineLvl w:val="4"/>
        <w:rPr>
          <w:rFonts w:ascii="Georgia" w:hAnsi="Georgia"/>
          <w:color w:val="818181"/>
          <w:sz w:val="18"/>
          <w:szCs w:val="18"/>
        </w:rPr>
      </w:pPr>
      <w:r>
        <w:rPr>
          <w:rFonts w:ascii="Georgia" w:hAnsi="Georgia"/>
          <w:color w:val="818181"/>
          <w:sz w:val="18"/>
          <w:szCs w:val="18"/>
        </w:rPr>
        <w:t xml:space="preserve">El titular de la entidad Luis Miguel </w:t>
      </w:r>
      <w:proofErr w:type="spellStart"/>
      <w:r>
        <w:rPr>
          <w:rFonts w:ascii="Georgia" w:hAnsi="Georgia"/>
          <w:color w:val="818181"/>
          <w:sz w:val="18"/>
          <w:szCs w:val="18"/>
        </w:rPr>
        <w:t>Etchevehere</w:t>
      </w:r>
      <w:proofErr w:type="spellEnd"/>
      <w:r>
        <w:rPr>
          <w:rFonts w:ascii="Georgia" w:hAnsi="Georgia"/>
          <w:color w:val="818181"/>
          <w:sz w:val="18"/>
          <w:szCs w:val="18"/>
        </w:rPr>
        <w:t xml:space="preserve"> confirmó que, luego de la medida cautelar otorgada por la Cámara Civil y Comercial, la exposición ganadera como las demás muestras que se tenían previstas se </w:t>
      </w:r>
      <w:proofErr w:type="gramStart"/>
      <w:r>
        <w:rPr>
          <w:rFonts w:ascii="Georgia" w:hAnsi="Georgia"/>
          <w:color w:val="818181"/>
          <w:sz w:val="18"/>
          <w:szCs w:val="18"/>
        </w:rPr>
        <w:t>realizarán</w:t>
      </w:r>
      <w:proofErr w:type="gramEnd"/>
      <w:r>
        <w:rPr>
          <w:rFonts w:ascii="Georgia" w:hAnsi="Georgia"/>
          <w:color w:val="818181"/>
          <w:sz w:val="18"/>
          <w:szCs w:val="18"/>
        </w:rPr>
        <w:t>. Además, criticó al Gobierno por cuestionar la decisión de los jueces.</w:t>
      </w:r>
    </w:p>
    <w:p w:rsidR="00BC2EDA" w:rsidRDefault="00BC2EDA" w:rsidP="00BC2EDA">
      <w:pPr>
        <w:pStyle w:val="NormalWeb"/>
        <w:spacing w:before="0" w:beforeAutospacing="0" w:after="225" w:afterAutospacing="0" w:line="336" w:lineRule="atLeast"/>
        <w:textAlignment w:val="top"/>
        <w:outlineLvl w:val="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El presidente de la Sociedad Rural Argentina (SRA), Luis Miguel </w:t>
      </w:r>
      <w:proofErr w:type="spellStart"/>
      <w:r>
        <w:rPr>
          <w:rFonts w:ascii="Georgia" w:hAnsi="Georgia"/>
          <w:color w:val="000000"/>
        </w:rPr>
        <w:t>Etchevehere</w:t>
      </w:r>
      <w:proofErr w:type="spellEnd"/>
      <w:r>
        <w:rPr>
          <w:rFonts w:ascii="Georgia" w:hAnsi="Georgia"/>
          <w:color w:val="000000"/>
        </w:rPr>
        <w:t xml:space="preserve">, dijo que el predio ferial de Palermo continuará realizando "toda la actividad que estaba prevista para este año", luego de que la Cámara Civil y Comercial Federal le otorgara a la entidad la medida cautelar que frena la </w:t>
      </w:r>
      <w:proofErr w:type="spellStart"/>
      <w:r>
        <w:rPr>
          <w:rFonts w:ascii="Georgia" w:hAnsi="Georgia"/>
          <w:color w:val="000000"/>
        </w:rPr>
        <w:t>reestatización</w:t>
      </w:r>
      <w:proofErr w:type="spellEnd"/>
      <w:r>
        <w:rPr>
          <w:rFonts w:ascii="Georgia" w:hAnsi="Georgia"/>
          <w:color w:val="000000"/>
        </w:rPr>
        <w:t xml:space="preserve"> del predio, cuya entrega estaba prevista para el 20 de enero.</w:t>
      </w:r>
    </w:p>
    <w:p w:rsidR="00BC2EDA" w:rsidRDefault="00BC2EDA" w:rsidP="00BC2EDA">
      <w:pPr>
        <w:pStyle w:val="NormalWeb"/>
        <w:spacing w:before="0" w:beforeAutospacing="0" w:after="225" w:afterAutospacing="0" w:line="336" w:lineRule="atLeast"/>
        <w:textAlignment w:val="top"/>
        <w:outlineLvl w:val="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"Se va a realizar normalmente, como se había establecido. Se hace la Exposición ganadera a fin de julio la SRA", indicó </w:t>
      </w:r>
      <w:proofErr w:type="spellStart"/>
      <w:r>
        <w:rPr>
          <w:rFonts w:ascii="Georgia" w:hAnsi="Georgia"/>
          <w:color w:val="000000"/>
        </w:rPr>
        <w:t>Etchevehere</w:t>
      </w:r>
      <w:proofErr w:type="spellEnd"/>
      <w:r>
        <w:rPr>
          <w:rFonts w:ascii="Georgia" w:hAnsi="Georgia"/>
          <w:color w:val="000000"/>
        </w:rPr>
        <w:t xml:space="preserve"> a Radio Mitre, y criticó a la presidenta Cristina Kirchner por cuestionar la decisión de la Cámara, que ya había favorecido con el mismo recurso al Grupo Clarín.</w:t>
      </w:r>
    </w:p>
    <w:p w:rsidR="00BC2EDA" w:rsidRDefault="00BC2EDA" w:rsidP="00BC2EDA">
      <w:pPr>
        <w:pStyle w:val="NormalWeb"/>
        <w:spacing w:before="0" w:beforeAutospacing="0" w:after="0" w:afterAutospacing="0" w:line="336" w:lineRule="atLeast"/>
        <w:textAlignment w:val="top"/>
        <w:outlineLvl w:val="3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"Criticar la justicia, cuando dicta sentencia que el gobierno no esperaba o contraria a su expectativa, no es una forma de mejorar la calidad institucional. Es un ataque directamente a las instituciones y a la justicia independiente", sostuvo.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 xml:space="preserve">En tanto, la SRA difundió este domingo, a través de una solicitada publicada en los diarios hegemónicos, el respaldo a la entidad de algunas empresas y políticos, como el Jefe de Gobierno de la Ciudad de Buenos Aires, Mauricio Macri; el ex vicepresidente de la Nación, Julio Cobos; los intendentes de Malvinas Argentinas, Jesús </w:t>
      </w:r>
      <w:proofErr w:type="spellStart"/>
      <w:r>
        <w:rPr>
          <w:rFonts w:ascii="Georgia" w:hAnsi="Georgia"/>
          <w:color w:val="000000"/>
        </w:rPr>
        <w:t>Cariglino</w:t>
      </w:r>
      <w:proofErr w:type="spellEnd"/>
      <w:r>
        <w:rPr>
          <w:rFonts w:ascii="Georgia" w:hAnsi="Georgia"/>
          <w:color w:val="000000"/>
        </w:rPr>
        <w:t xml:space="preserve">, de San Isidro, Gustavo </w:t>
      </w:r>
      <w:proofErr w:type="spellStart"/>
      <w:r>
        <w:rPr>
          <w:rFonts w:ascii="Georgia" w:hAnsi="Georgia"/>
          <w:color w:val="000000"/>
        </w:rPr>
        <w:t>Posse</w:t>
      </w:r>
      <w:proofErr w:type="spellEnd"/>
      <w:r>
        <w:rPr>
          <w:rFonts w:ascii="Georgia" w:hAnsi="Georgia"/>
          <w:color w:val="000000"/>
        </w:rPr>
        <w:t xml:space="preserve">, y de Vicente López, Jorge Macri. </w:t>
      </w:r>
      <w:proofErr w:type="spellStart"/>
      <w:r>
        <w:rPr>
          <w:rFonts w:ascii="Georgia" w:hAnsi="Georgia"/>
          <w:color w:val="000000"/>
        </w:rPr>
        <w:t>Tambien</w:t>
      </w:r>
      <w:proofErr w:type="spellEnd"/>
      <w:r>
        <w:rPr>
          <w:rFonts w:ascii="Georgia" w:hAnsi="Georgia"/>
          <w:color w:val="000000"/>
        </w:rPr>
        <w:t xml:space="preserve"> apoyó el comunicado el gobernador de Córdoba, José Manuel De la Sota (Córdoba).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br/>
        <w:t>Entre las entidades empresarias están: Asociación Dirigentes de Empresa (ADE); Asociación Empresaria Argentina (AEA); Asociación Cristiana de Dirigentes de Empresa (ACDE); la Bolsa de Comercio de Santa Fe; y la Asociación de Editores Digitales de la Argentina.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color w:val="000000"/>
        </w:rPr>
        <w:lastRenderedPageBreak/>
        <w:t xml:space="preserve">Se suman además varias instituciones agrarias como </w:t>
      </w:r>
      <w:proofErr w:type="spellStart"/>
      <w:r>
        <w:rPr>
          <w:rFonts w:ascii="Georgia" w:hAnsi="Georgia"/>
          <w:color w:val="000000"/>
        </w:rPr>
        <w:t>Coninagro</w:t>
      </w:r>
      <w:proofErr w:type="spellEnd"/>
      <w:r>
        <w:rPr>
          <w:rFonts w:ascii="Georgia" w:hAnsi="Georgia"/>
          <w:color w:val="000000"/>
        </w:rPr>
        <w:t>, Confederaciones Rurales Argentinas, Federación Agraria Argentina, y la Unión de Trabajadores Rurales y Estibadores (UATRE), entre otras.</w:t>
      </w:r>
    </w:p>
    <w:p w:rsidR="000918FE" w:rsidRDefault="000918FE" w:rsidP="009200C2"/>
    <w:p w:rsidR="000457B4" w:rsidRDefault="00BC2EDA" w:rsidP="009200C2">
      <w:hyperlink r:id="rId7" w:history="1">
        <w:r w:rsidRPr="00165E0D">
          <w:rPr>
            <w:rStyle w:val="Hipervnculo"/>
          </w:rPr>
          <w:t>http://www.infonews.com/2013/01/06/politica-55495-tras-el-fallo-judicial-en-la-rural-afirman-que-se-realizaran-las-actividades-previstas-predio-de-la-rural.php</w:t>
        </w:r>
      </w:hyperlink>
    </w:p>
    <w:p w:rsidR="00BC2EDA" w:rsidRDefault="00BC2EDA" w:rsidP="009200C2"/>
    <w:p w:rsidR="000457B4" w:rsidRDefault="000457B4" w:rsidP="009200C2"/>
    <w:sectPr w:rsidR="000457B4" w:rsidSect="007A13C0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32" w:rsidRDefault="00991532" w:rsidP="003B2481">
      <w:pPr>
        <w:spacing w:after="0" w:line="240" w:lineRule="auto"/>
      </w:pPr>
      <w:r>
        <w:separator/>
      </w:r>
    </w:p>
  </w:endnote>
  <w:endnote w:type="continuationSeparator" w:id="0">
    <w:p w:rsidR="00991532" w:rsidRDefault="00991532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32" w:rsidRDefault="00991532" w:rsidP="003B2481">
      <w:pPr>
        <w:spacing w:after="0" w:line="240" w:lineRule="auto"/>
      </w:pPr>
      <w:r>
        <w:separator/>
      </w:r>
    </w:p>
  </w:footnote>
  <w:footnote w:type="continuationSeparator" w:id="0">
    <w:p w:rsidR="00991532" w:rsidRDefault="00991532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41333"/>
    <w:rsid w:val="001F6CBC"/>
    <w:rsid w:val="003209BE"/>
    <w:rsid w:val="003B2481"/>
    <w:rsid w:val="00453D51"/>
    <w:rsid w:val="004C5384"/>
    <w:rsid w:val="004F6C30"/>
    <w:rsid w:val="00595F9E"/>
    <w:rsid w:val="005C698F"/>
    <w:rsid w:val="005D190A"/>
    <w:rsid w:val="006126D0"/>
    <w:rsid w:val="00635AAB"/>
    <w:rsid w:val="006F42C4"/>
    <w:rsid w:val="007114CC"/>
    <w:rsid w:val="007128CF"/>
    <w:rsid w:val="00716368"/>
    <w:rsid w:val="00744EA1"/>
    <w:rsid w:val="00751D04"/>
    <w:rsid w:val="007A13C0"/>
    <w:rsid w:val="007B0CA1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91532"/>
    <w:rsid w:val="009C6D1E"/>
    <w:rsid w:val="009D28A1"/>
    <w:rsid w:val="00A45E08"/>
    <w:rsid w:val="00A85AF5"/>
    <w:rsid w:val="00B03CEE"/>
    <w:rsid w:val="00BA3BF9"/>
    <w:rsid w:val="00BC2EDA"/>
    <w:rsid w:val="00BC6A15"/>
    <w:rsid w:val="00C02837"/>
    <w:rsid w:val="00C119F3"/>
    <w:rsid w:val="00D757A4"/>
    <w:rsid w:val="00D77F32"/>
    <w:rsid w:val="00DC78E6"/>
    <w:rsid w:val="00E04ABF"/>
    <w:rsid w:val="00E20774"/>
    <w:rsid w:val="00E216E0"/>
    <w:rsid w:val="00E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BC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BC2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1Car">
    <w:name w:val="Título 1 Car"/>
    <w:basedOn w:val="Fuentedeprrafopredeter"/>
    <w:link w:val="Ttulo1"/>
    <w:rsid w:val="00BC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BC2E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2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BC2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BC2E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1Car">
    <w:name w:val="Título 1 Car"/>
    <w:basedOn w:val="Fuentedeprrafopredeter"/>
    <w:link w:val="Ttulo1"/>
    <w:rsid w:val="00BC2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BC2E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2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350">
          <w:marLeft w:val="0"/>
          <w:marRight w:val="0"/>
          <w:marTop w:val="0"/>
          <w:marBottom w:val="225"/>
          <w:divBdr>
            <w:top w:val="single" w:sz="6" w:space="15" w:color="D3D3D3"/>
            <w:left w:val="none" w:sz="0" w:space="0" w:color="auto"/>
            <w:bottom w:val="single" w:sz="6" w:space="0" w:color="D3D3D3"/>
            <w:right w:val="none" w:sz="0" w:space="0" w:color="auto"/>
          </w:divBdr>
          <w:divsChild>
            <w:div w:id="6994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45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02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0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3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news.com/2013/01/06/politica-55495-tras-el-fallo-judicial-en-la-rural-afirman-que-se-realizaran-las-actividades-previstas-predio-de-la-rural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2013-02-04T13:40:00Z</dcterms:created>
  <dcterms:modified xsi:type="dcterms:W3CDTF">2013-02-04T13:40:00Z</dcterms:modified>
</cp:coreProperties>
</file>